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DE" w:rsidRDefault="002A03DE" w:rsidP="002A03D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ASDP/ARC PROFILE</w:t>
      </w:r>
    </w:p>
    <w:p w:rsidR="002A03DE" w:rsidRDefault="002A03DE" w:rsidP="002A03D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800000"/>
        </w:rPr>
        <w:t>BLACK HAWK COLLEGE</w:t>
      </w:r>
    </w:p>
    <w:p w:rsidR="002A03DE" w:rsidRDefault="002A03DE" w:rsidP="002A03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03DE" w:rsidRDefault="002A03DE" w:rsidP="002A03D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Institution Name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Black Hawk College</w:t>
      </w:r>
      <w:r>
        <w:rPr>
          <w:rFonts w:ascii="Arial" w:hAnsi="Arial" w:cs="Arial"/>
          <w:color w:val="000000"/>
          <w:sz w:val="20"/>
          <w:szCs w:val="20"/>
        </w:rPr>
        <w:br/>
        <w:t>6600 34th Avenue</w:t>
      </w:r>
      <w:r>
        <w:rPr>
          <w:rFonts w:ascii="Arial" w:hAnsi="Arial" w:cs="Arial"/>
          <w:color w:val="000000"/>
          <w:sz w:val="20"/>
          <w:szCs w:val="20"/>
        </w:rPr>
        <w:br/>
        <w:t>Moline, IL 61265-5899</w:t>
      </w:r>
    </w:p>
    <w:p w:rsidR="002A03DE" w:rsidRDefault="002A03DE" w:rsidP="002A03D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Contact(s):</w:t>
      </w:r>
      <w:r>
        <w:rPr>
          <w:rFonts w:ascii="Arial" w:hAnsi="Arial" w:cs="Arial"/>
          <w:color w:val="000000"/>
          <w:sz w:val="20"/>
          <w:szCs w:val="20"/>
        </w:rPr>
        <w:br/>
        <w:t>Ms. Melissa Hebert-Johnson</w:t>
      </w:r>
      <w:r>
        <w:rPr>
          <w:rFonts w:ascii="Arial" w:hAnsi="Arial" w:cs="Arial"/>
          <w:color w:val="000000"/>
          <w:sz w:val="20"/>
          <w:szCs w:val="20"/>
        </w:rPr>
        <w:br/>
        <w:t>Department of Communication and Fine Arts</w:t>
      </w:r>
    </w:p>
    <w:p w:rsidR="002A03DE" w:rsidRDefault="002A03DE" w:rsidP="002A03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Email: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hebertm@bhc.edu</w:t>
        </w:r>
      </w:hyperlink>
    </w:p>
    <w:p w:rsidR="002A03DE" w:rsidRDefault="002A03DE" w:rsidP="002A03D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Brief Institutional Description: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Comprehensive community college with 8,231 credit students. Headcount: 11,439. Full-time Faculty: 133. Part-time faculty: 188. Two campuses: Quad Cities Campus in Moline, Illinois; East Campus in Kewanee, Illinois.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Largest geographical community college district in Illinois (2,200 sq. miles).</w:t>
      </w:r>
      <w:proofErr w:type="gramEnd"/>
    </w:p>
    <w:p w:rsidR="002A03DE" w:rsidRDefault="002A03DE" w:rsidP="002A03D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Asian/International Stage of Development: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Curricula on Asia include: Agriculture of Developing Countries; Comparative Religions; Cultural Anthropology; Eastern Literatures in Translation; Global Issues; History of Asia I; History of Asia II; History of the Middle East since 1700; Intercultural Communication; International Business Cultures; Intro to International Business; International Relations; Minority American Literature; Non-European Government; Non-Western Music; Regional Geography; Societies &amp; Psychology of Asia; Survey of Non-Western Art; Survey of Asian Art.</w:t>
      </w:r>
    </w:p>
    <w:p w:rsidR="002A03DE" w:rsidRDefault="002A03DE" w:rsidP="002A03D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Recent/Planned Activities: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Since 1990, we have sent more than twenty employees to the ASDP Infusing Institute.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Holds an Annual International Festival and Chinese New Year Celebration.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History movies on Asian history topics.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Hosts Chinese high school students in summer for </w:t>
      </w:r>
      <w:r>
        <w:rPr>
          <w:rFonts w:ascii="Arial" w:hAnsi="Arial" w:cs="Arial"/>
          <w:i/>
          <w:color w:val="000000"/>
          <w:sz w:val="20"/>
          <w:szCs w:val="20"/>
        </w:rPr>
        <w:t>Rivers as Bridges</w:t>
      </w:r>
      <w:r>
        <w:rPr>
          <w:rFonts w:ascii="Arial" w:hAnsi="Arial" w:cs="Arial"/>
          <w:color w:val="000000"/>
          <w:sz w:val="20"/>
          <w:szCs w:val="20"/>
        </w:rPr>
        <w:t xml:space="preserve"> program.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Traditional Chinese Culture festival (2013): calligraphy and history of Chinese writing art exhibit, calligraphy and tai chi demonstrations.  </w:t>
      </w:r>
    </w:p>
    <w:p w:rsidR="002A03DE" w:rsidRDefault="002A03DE" w:rsidP="002A03D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Faculty Active in Asian Studies: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Anthropology: 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Hawry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Rachel Horner-Bracket. Art: Melissa Hebert-Johnson (</w:t>
      </w:r>
      <w:r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>), Marilyn Davis (</w:t>
      </w:r>
      <w:r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 xml:space="preserve">). Comparative Religions: Richard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Morthland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Economics: Jim Johnson (</w:t>
      </w:r>
      <w:r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>). Government: Joan Eastlund (</w:t>
      </w:r>
      <w:r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>). History: Mark Esposito (</w:t>
      </w:r>
      <w:r>
        <w:rPr>
          <w:rFonts w:ascii="Arial" w:hAnsi="Arial" w:cs="Arial"/>
          <w:b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 xml:space="preserve">). Humanities: Galen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Leonhardy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Literature: Diana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>), Nicole Banks (</w:t>
      </w:r>
      <w:r>
        <w:rPr>
          <w:rFonts w:ascii="Arial" w:hAnsi="Arial" w:cs="Arial"/>
          <w:b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 xml:space="preserve">). Music: Jim Fudge, Jon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Palomaki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Natural Sciences and Engineering: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Matlub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Ahmad,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Xixuan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Collins (</w:t>
      </w:r>
      <w:r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>). Psychology: Traci Davis (</w:t>
      </w:r>
      <w:r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>). Sociology: Bruce LeBlanc (</w:t>
      </w:r>
      <w:r>
        <w:rPr>
          <w:rFonts w:ascii="Arial" w:hAnsi="Arial" w:cs="Arial"/>
          <w:b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A32905" w:rsidRDefault="002A03DE">
      <w:bookmarkStart w:id="0" w:name="_GoBack"/>
      <w:bookmarkEnd w:id="0"/>
    </w:p>
    <w:sectPr w:rsidR="00A3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DE"/>
    <w:rsid w:val="000C3BE1"/>
    <w:rsid w:val="002A03DE"/>
    <w:rsid w:val="007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3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0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3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bertm@b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Minei</dc:creator>
  <cp:lastModifiedBy>Audrey Minei</cp:lastModifiedBy>
  <cp:revision>1</cp:revision>
  <dcterms:created xsi:type="dcterms:W3CDTF">2018-01-17T01:56:00Z</dcterms:created>
  <dcterms:modified xsi:type="dcterms:W3CDTF">2018-01-17T01:56:00Z</dcterms:modified>
</cp:coreProperties>
</file>